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margin" w:tblpY="129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272C5B" w:rsidTr="00720F53">
        <w:trPr>
          <w:trHeight w:val="841"/>
        </w:trPr>
        <w:tc>
          <w:tcPr>
            <w:tcW w:w="9169" w:type="dxa"/>
            <w:tcBorders>
              <w:top w:val="single" w:sz="4" w:space="0" w:color="A50021"/>
              <w:left w:val="single" w:sz="4" w:space="0" w:color="A50021"/>
              <w:bottom w:val="single" w:sz="4" w:space="0" w:color="A50021"/>
              <w:right w:val="single" w:sz="4" w:space="0" w:color="A50021"/>
            </w:tcBorders>
            <w:shd w:val="clear" w:color="auto" w:fill="FFF2CC" w:themeFill="accent4" w:themeFillTint="33"/>
            <w:vAlign w:val="center"/>
          </w:tcPr>
          <w:p w:rsidR="00272C5B" w:rsidRPr="00DE43D5" w:rsidRDefault="00272C5B" w:rsidP="00272C5B">
            <w:pPr>
              <w:spacing w:after="150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u w:val="single"/>
                <w:lang w:eastAsia="cs-CZ"/>
              </w:rPr>
            </w:pPr>
            <w:r w:rsidRPr="00DE43D5">
              <w:rPr>
                <w:rFonts w:eastAsia="Times New Roman" w:cstheme="minorHAnsi"/>
                <w:b/>
                <w:color w:val="002060"/>
                <w:kern w:val="36"/>
                <w:sz w:val="32"/>
                <w:szCs w:val="32"/>
                <w:u w:val="single"/>
                <w:lang w:eastAsia="cs-CZ"/>
              </w:rPr>
              <w:t xml:space="preserve">JAK MŮŽE RODINA USNADNIT PŘEDŠKOLÁKOVI VSTUP DO </w:t>
            </w:r>
            <w:proofErr w:type="gramStart"/>
            <w:r w:rsidRPr="00DE43D5">
              <w:rPr>
                <w:rFonts w:eastAsia="Times New Roman" w:cstheme="minorHAnsi"/>
                <w:b/>
                <w:color w:val="002060"/>
                <w:kern w:val="36"/>
                <w:sz w:val="32"/>
                <w:szCs w:val="32"/>
                <w:u w:val="single"/>
                <w:lang w:eastAsia="cs-CZ"/>
              </w:rPr>
              <w:t>ŠKOLY ?</w:t>
            </w:r>
            <w:proofErr w:type="gramEnd"/>
          </w:p>
        </w:tc>
      </w:tr>
    </w:tbl>
    <w:p w:rsidR="00941C1F" w:rsidRPr="00941C1F" w:rsidRDefault="00272C5B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021212">
        <w:rPr>
          <w:rFonts w:eastAsia="Times New Roman" w:cstheme="minorHAnsi"/>
          <w:noProof/>
          <w:color w:val="333333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4772025</wp:posOffset>
            </wp:positionH>
            <wp:positionV relativeFrom="paragraph">
              <wp:posOffset>925830</wp:posOffset>
            </wp:positionV>
            <wp:extent cx="1036532" cy="1581150"/>
            <wp:effectExtent l="0" t="0" r="0" b="0"/>
            <wp:wrapSquare wrapText="bothSides"/>
            <wp:docPr id="1" name="Obrázek 1" descr="Jak může rodina usnadnit předškolákovi vstup do škol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může rodina usnadnit předškolákovi vstup do školy?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1" r="21428"/>
                    <a:stretch/>
                  </pic:blipFill>
                  <pic:spPr bwMode="auto">
                    <a:xfrm>
                      <a:off x="0" y="0"/>
                      <a:ext cx="1036532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72C5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cs-CZ"/>
        </w:rPr>
        <w:br/>
      </w:r>
      <w:r w:rsidR="00941C1F"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Školní zralost</w:t>
      </w:r>
      <w:r w:rsidR="00941C1F" w:rsidRPr="00941C1F">
        <w:rPr>
          <w:rFonts w:eastAsia="Times New Roman" w:cstheme="minorHAnsi"/>
          <w:color w:val="000000"/>
          <w:sz w:val="24"/>
          <w:szCs w:val="24"/>
          <w:lang w:eastAsia="cs-CZ"/>
        </w:rPr>
        <w:t> bývá nejčastěji charakterizována jako stav dítěte, který zahrnuje jeho </w:t>
      </w:r>
      <w:r w:rsidR="00941C1F"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zdravotní, psychickou a sociální způsobilost </w:t>
      </w:r>
      <w:r w:rsidR="00941C1F" w:rsidRPr="00941C1F">
        <w:rPr>
          <w:rFonts w:eastAsia="Times New Roman" w:cstheme="minorHAnsi"/>
          <w:color w:val="000000"/>
          <w:sz w:val="24"/>
          <w:szCs w:val="24"/>
          <w:lang w:eastAsia="cs-CZ"/>
        </w:rPr>
        <w:t>začít školní docházku. Dítě, jež má zvládnout požadavky školní docházky, by tedy mělo být zralé a připravené na vstup do 1. třídy základní školy. V souvislosti se školní zralostí se uvádějí nejčastěji její tři složky:</w:t>
      </w:r>
    </w:p>
    <w:p w:rsidR="00941C1F" w:rsidRPr="00941C1F" w:rsidRDefault="00941C1F" w:rsidP="00941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fyzická zralost (tělesná neboli somatická)</w:t>
      </w:r>
    </w:p>
    <w:p w:rsidR="00941C1F" w:rsidRPr="00941C1F" w:rsidRDefault="00941C1F" w:rsidP="00941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psychická zralost</w:t>
      </w:r>
    </w:p>
    <w:p w:rsidR="00941C1F" w:rsidRPr="00941C1F" w:rsidRDefault="00941C1F" w:rsidP="00941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sociální a emocionální zralost (jejíž součástí je i pracovní zralost)</w:t>
      </w:r>
    </w:p>
    <w:p w:rsidR="00941C1F" w:rsidRPr="00941C1F" w:rsidRDefault="00021212" w:rsidP="0002121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80"/>
          <w:sz w:val="27"/>
          <w:szCs w:val="27"/>
          <w:lang w:eastAsia="cs-CZ"/>
        </w:rPr>
        <w:br/>
      </w:r>
      <w:r w:rsidR="00941C1F" w:rsidRPr="00941C1F">
        <w:rPr>
          <w:rFonts w:eastAsia="Times New Roman" w:cstheme="minorHAnsi"/>
          <w:b/>
          <w:bCs/>
          <w:color w:val="000080"/>
          <w:sz w:val="27"/>
          <w:szCs w:val="27"/>
          <w:lang w:eastAsia="cs-CZ"/>
        </w:rPr>
        <w:t>Jak dítěti pomáhat?</w:t>
      </w:r>
    </w:p>
    <w:p w:rsidR="00941C1F" w:rsidRP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</w:pPr>
      <w:r w:rsidRPr="00941C1F">
        <w:rPr>
          <w:rFonts w:eastAsia="Times New Roman" w:cstheme="minorHAnsi"/>
          <w:color w:val="800000"/>
          <w:sz w:val="27"/>
          <w:szCs w:val="27"/>
          <w:lang w:eastAsia="cs-CZ"/>
        </w:rPr>
        <w:t>1. PRŮBĚŽNĚ VÉST K TOUZE PO POZNÁNÍ</w:t>
      </w:r>
    </w:p>
    <w:p w:rsidR="00941C1F" w:rsidRP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Hlavním úkolem rodiny je </w:t>
      </w:r>
      <w:r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průběžná výchova dítěte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, neboť rodiče by své dítě neměli učit jen pro zápis, ale </w:t>
      </w:r>
      <w:r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pro další život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. Určitě není vhodné, aby rodiče dítě školou strašili (např. ve škole si tě srovnají, tam budeš muset poslouchat, tam si to s tebou paní učitelka vyřídí, jak nebudeš poslouchat, dostaneš od paní učitelky poznámku nebo špatnou známku…). Důležitým úkolem rodiny je </w:t>
      </w:r>
      <w:r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vést dítě k touze po poznání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, dítě by se do školy mělo těšit. Rodiče by tedy před ním neměli o učení, o škole, o učitelích mluvit negativně.</w:t>
      </w:r>
      <w:r w:rsidRPr="000212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:rsidR="00941C1F" w:rsidRP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800000"/>
          <w:sz w:val="27"/>
          <w:szCs w:val="27"/>
          <w:lang w:eastAsia="cs-CZ"/>
        </w:rPr>
        <w:t>2. TRÁVIT SPOLEČNĚ DOST ČASU</w:t>
      </w:r>
    </w:p>
    <w:p w:rsidR="00941C1F" w:rsidRP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Rodiče by si pro své dítě měli nalézt </w:t>
      </w:r>
      <w:r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pravidelně čas, 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tedy věnovat se mu</w:t>
      </w:r>
      <w:r w:rsidRPr="00941C1F">
        <w:rPr>
          <w:rFonts w:eastAsia="Times New Roman" w:cstheme="minorHAnsi"/>
          <w:color w:val="333333"/>
          <w:sz w:val="24"/>
          <w:szCs w:val="24"/>
          <w:lang w:eastAsia="cs-CZ"/>
        </w:rPr>
        <w:t> 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nejenom nárazově (např. měsíc před zápisem do 1. třídy základní školy), ale průběžně. Je samozřejmě náročné skloubit zaměstnání, péči o domácnost a výchovu dětí. Rodiče by s dětmi měli hodně hovořit, číst jim, zpívat, kreslit, stavět, modelovat, sportovat, hrát si… Jednoduše být s nimi a poskytnout jim čas a prostor pro vzájemné činnosti, hry či společné procházky.</w:t>
      </w:r>
    </w:p>
    <w:p w:rsidR="00941C1F" w:rsidRP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Důležité je </w:t>
      </w:r>
      <w:r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nezapomínat na běžné činnosti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: společně snídat, večeřet, něco připravovat, uklízet, pečovat o květiny nebo domácí mazlíčky, společně plánovat, společně se radovat a smát atd.</w:t>
      </w:r>
    </w:p>
    <w:p w:rsid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Ideální je, když se i malé děti účastní běžných činností v domácnosti (třeba rovnají nádobí do myčky, pomáhají luxovat, stlát, utírat prach atd. Dětem samozřejmě musíme činnost uzpůsobit, aby ji byly schopné zvládnout a nezapomínáme je průběžně chválit). Děti tak mají pocit důležitosti a cítí se jako nepostradatelná součást rodiny, což pomáhá posilovat rodinné vztahy.  </w:t>
      </w:r>
    </w:p>
    <w:p w:rsidR="00021212" w:rsidRPr="00941C1F" w:rsidRDefault="00021212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cs-CZ"/>
        </w:rPr>
      </w:pPr>
    </w:p>
    <w:p w:rsidR="00941C1F" w:rsidRP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800000"/>
          <w:sz w:val="27"/>
          <w:szCs w:val="27"/>
          <w:lang w:eastAsia="cs-CZ"/>
        </w:rPr>
        <w:t>3. PRAVIDELNĚ OPAKOVAT ČINNOSTI </w:t>
      </w:r>
    </w:p>
    <w:p w:rsid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Velký význam pro dítě, ale i pro sounáležitost všech členů rodiny mají rituály – </w:t>
      </w:r>
      <w:r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pravidelně se opakující činnosti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. Nemusí jít jen o sváteční rituály (oslava Vánoc, oslava Velikonoc, oslava narozenin atd.), ale veliký význam má např. také </w:t>
      </w:r>
      <w:r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uspávací rituál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, kdy se dítě po večerní hygieně pokaždé těší na pohádku před spaním, kterou maminka nebo tatínek čte. Po přečtené pohádce následuje pomazlení, pusa na dobrou noc atd.</w:t>
      </w:r>
    </w:p>
    <w:p w:rsidR="00941C1F" w:rsidRPr="00941C1F" w:rsidRDefault="00021212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color w:val="800000"/>
          <w:sz w:val="27"/>
          <w:szCs w:val="27"/>
          <w:lang w:eastAsia="cs-CZ"/>
        </w:rPr>
        <w:lastRenderedPageBreak/>
        <w:br/>
      </w:r>
      <w:r w:rsidR="00941C1F" w:rsidRPr="00941C1F">
        <w:rPr>
          <w:rFonts w:eastAsia="Times New Roman" w:cstheme="minorHAnsi"/>
          <w:color w:val="800000"/>
          <w:sz w:val="27"/>
          <w:szCs w:val="27"/>
          <w:lang w:eastAsia="cs-CZ"/>
        </w:rPr>
        <w:t>4. ZAJISTIT PODNĚTNÉ PROSTŘEDÍ</w:t>
      </w:r>
    </w:p>
    <w:p w:rsidR="00941C1F" w:rsidRPr="00021212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Důležitým předpokladem školní připravenosti a následně i školní úspěšnosti dítěte je </w:t>
      </w:r>
      <w:r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podnětnost rodinného prostředí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. Nezáleží na kvantitě podnětů, ale na jejich kvalitě a také na tom, zda podněty, které rodina dítěti poskytuje, jsou relevantní z hlediska požadavků stávajícího školského systému.</w:t>
      </w:r>
    </w:p>
    <w:p w:rsidR="00941C1F" w:rsidRP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41C1F" w:rsidRP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800000"/>
          <w:sz w:val="27"/>
          <w:szCs w:val="27"/>
          <w:lang w:eastAsia="cs-CZ"/>
        </w:rPr>
        <w:t>5. ZAJISTIT STABILNÍ RODINNÉ PROSTŘEDÍ</w:t>
      </w:r>
    </w:p>
    <w:p w:rsidR="00941C1F" w:rsidRPr="00021212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Budoucí školák potřebuje mít </w:t>
      </w:r>
      <w:r w:rsidRPr="00941C1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stabilní rodinné prostředí</w:t>
      </w:r>
      <w:r w:rsidRPr="00941C1F">
        <w:rPr>
          <w:rFonts w:eastAsia="Times New Roman" w:cstheme="minorHAnsi"/>
          <w:color w:val="000000"/>
          <w:sz w:val="24"/>
          <w:szCs w:val="24"/>
          <w:lang w:eastAsia="cs-CZ"/>
        </w:rPr>
        <w:t>, které mu poskytuje pocit bezpečí a jistoty, aby bez větších problémů zvládl zahájení povinné školní docházky, která bývá spojena se zvýšením nároků nejenom na dítě, ale i ostatní členy rodiny.</w:t>
      </w:r>
    </w:p>
    <w:p w:rsidR="00941C1F" w:rsidRPr="00021212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bookmarkStart w:id="0" w:name="_GoBack"/>
      <w:bookmarkEnd w:id="0"/>
    </w:p>
    <w:p w:rsidR="00941C1F" w:rsidRDefault="00941C1F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720F53" w:rsidRDefault="00720F53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720F53" w:rsidRPr="00941C1F" w:rsidRDefault="00720F53" w:rsidP="00941C1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720F53" w:rsidRPr="00C01DB0" w:rsidRDefault="00021212" w:rsidP="00720F53">
      <w:pPr>
        <w:pBdr>
          <w:top w:val="single" w:sz="4" w:space="2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FFF2CC" w:themeFill="accent4" w:themeFillTint="33"/>
        <w:spacing w:after="0" w:line="240" w:lineRule="auto"/>
        <w:jc w:val="center"/>
        <w:outlineLvl w:val="1"/>
        <w:rPr>
          <w:rFonts w:eastAsia="Times New Roman" w:cstheme="minorHAnsi"/>
          <w:b/>
          <w:color w:val="002060"/>
          <w:sz w:val="32"/>
          <w:szCs w:val="32"/>
          <w:lang w:eastAsia="cs-CZ"/>
        </w:rPr>
      </w:pPr>
      <w:r w:rsidRPr="00C01DB0">
        <w:rPr>
          <w:rFonts w:eastAsia="Times New Roman" w:cstheme="minorHAnsi"/>
          <w:b/>
          <w:color w:val="002060"/>
          <w:sz w:val="32"/>
          <w:szCs w:val="32"/>
          <w:lang w:eastAsia="cs-CZ"/>
        </w:rPr>
        <w:t xml:space="preserve">PRVŇÁČKOVO DESATERO </w:t>
      </w:r>
    </w:p>
    <w:p w:rsidR="00941C1F" w:rsidRPr="00720F53" w:rsidRDefault="00021212" w:rsidP="00720F53">
      <w:pPr>
        <w:pBdr>
          <w:top w:val="single" w:sz="4" w:space="2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FFF2CC" w:themeFill="accent4" w:themeFillTint="33"/>
        <w:spacing w:after="0" w:line="240" w:lineRule="auto"/>
        <w:jc w:val="center"/>
        <w:outlineLvl w:val="1"/>
        <w:rPr>
          <w:rFonts w:eastAsia="Times New Roman" w:cstheme="minorHAnsi"/>
          <w:color w:val="002060"/>
          <w:sz w:val="24"/>
          <w:szCs w:val="24"/>
          <w:lang w:eastAsia="cs-CZ"/>
        </w:rPr>
      </w:pPr>
      <w:r w:rsidRPr="00720F53">
        <w:rPr>
          <w:rFonts w:eastAsia="Times New Roman" w:cstheme="minorHAnsi"/>
          <w:color w:val="002060"/>
          <w:sz w:val="24"/>
          <w:szCs w:val="24"/>
          <w:lang w:eastAsia="cs-CZ"/>
        </w:rPr>
        <w:t>ANEB CO BY MĚLI RODIČE BUDOUCÍHO PRVŇÁČKA VĚDĚT</w:t>
      </w:r>
    </w:p>
    <w:p w:rsidR="00941C1F" w:rsidRPr="00B17FD7" w:rsidRDefault="00941C1F" w:rsidP="00941C1F">
      <w:pPr>
        <w:shd w:val="clear" w:color="auto" w:fill="FFFFFF"/>
        <w:spacing w:after="150" w:line="240" w:lineRule="auto"/>
        <w:rPr>
          <w:rFonts w:eastAsia="Times New Roman" w:cstheme="minorHAnsi"/>
          <w:color w:val="C00000"/>
          <w:sz w:val="24"/>
          <w:szCs w:val="24"/>
          <w:lang w:eastAsia="cs-CZ"/>
        </w:rPr>
      </w:pPr>
      <w:r w:rsidRPr="00941C1F">
        <w:rPr>
          <w:rFonts w:eastAsia="Times New Roman" w:cstheme="minorHAnsi"/>
          <w:color w:val="C00000"/>
          <w:sz w:val="27"/>
          <w:szCs w:val="27"/>
          <w:lang w:eastAsia="cs-CZ"/>
        </w:rPr>
        <w:t> </w:t>
      </w:r>
    </w:p>
    <w:tbl>
      <w:tblPr>
        <w:tblStyle w:val="Mkatabulky"/>
        <w:tblW w:w="9356" w:type="dxa"/>
        <w:tblInd w:w="-14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4530"/>
        <w:gridCol w:w="4826"/>
      </w:tblGrid>
      <w:tr w:rsidR="00941C1F" w:rsidRPr="00021212" w:rsidTr="00720F53">
        <w:tc>
          <w:tcPr>
            <w:tcW w:w="4530" w:type="dxa"/>
            <w:vAlign w:val="center"/>
          </w:tcPr>
          <w:p w:rsidR="00941C1F" w:rsidRPr="00DE43D5" w:rsidRDefault="00DE43D5" w:rsidP="00941C1F">
            <w:pPr>
              <w:spacing w:after="225"/>
              <w:jc w:val="both"/>
              <w:rPr>
                <w:rFonts w:eastAsia="Times New Roman" w:cstheme="minorHAnsi"/>
                <w:b/>
                <w:i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1. Důvěřujte mi.</w:t>
            </w:r>
          </w:p>
          <w:p w:rsidR="00941C1F" w:rsidRPr="00941C1F" w:rsidRDefault="00941C1F" w:rsidP="00941C1F">
            <w:pPr>
              <w:spacing w:after="225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41C1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Potřebuji si věřit. S vaší pomocí první třídu zvládnu.</w:t>
            </w:r>
          </w:p>
        </w:tc>
        <w:tc>
          <w:tcPr>
            <w:tcW w:w="4826" w:type="dxa"/>
          </w:tcPr>
          <w:p w:rsidR="00941C1F" w:rsidRPr="00DE43D5" w:rsidRDefault="00DE43D5" w:rsidP="00941C1F">
            <w:pPr>
              <w:spacing w:after="225"/>
              <w:rPr>
                <w:rFonts w:eastAsia="Times New Roman" w:cstheme="minorHAnsi"/>
                <w:b/>
                <w:i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6. Buďte trpěliví</w:t>
            </w:r>
            <w:r w:rsidR="003250F7" w:rsidRPr="00DE43D5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  <w:lang w:eastAsia="cs-CZ"/>
              </w:rPr>
              <w:t>.</w:t>
            </w:r>
          </w:p>
          <w:p w:rsidR="00941C1F" w:rsidRPr="00021212" w:rsidRDefault="00941C1F" w:rsidP="00941C1F">
            <w:pPr>
              <w:spacing w:after="150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41C1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Pokud mi něco nejde, netrestejte mě, potřebuji ještě vaši pomoc.</w:t>
            </w:r>
          </w:p>
        </w:tc>
      </w:tr>
      <w:tr w:rsidR="00941C1F" w:rsidRPr="00021212" w:rsidTr="00720F53">
        <w:tc>
          <w:tcPr>
            <w:tcW w:w="4530" w:type="dxa"/>
          </w:tcPr>
          <w:p w:rsidR="00941C1F" w:rsidRPr="00DE43D5" w:rsidRDefault="00DE43D5" w:rsidP="00AB3C79">
            <w:pPr>
              <w:spacing w:after="225"/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2. Těšte se se mnou na školu.</w:t>
            </w:r>
          </w:p>
          <w:p w:rsidR="00941C1F" w:rsidRPr="00941C1F" w:rsidRDefault="00941C1F" w:rsidP="00AB3C79">
            <w:pPr>
              <w:spacing w:after="22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41C1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Já se také budu těšit.</w:t>
            </w:r>
          </w:p>
        </w:tc>
        <w:tc>
          <w:tcPr>
            <w:tcW w:w="4826" w:type="dxa"/>
            <w:vAlign w:val="center"/>
          </w:tcPr>
          <w:p w:rsidR="00941C1F" w:rsidRPr="00DE43D5" w:rsidRDefault="00DE43D5" w:rsidP="00941C1F">
            <w:pPr>
              <w:spacing w:after="225"/>
              <w:rPr>
                <w:rFonts w:eastAsia="Times New Roman" w:cstheme="minorHAnsi"/>
                <w:b/>
                <w:i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7. Nepřetěžujte mě</w:t>
            </w:r>
            <w:r w:rsidR="003250F7" w:rsidRPr="00DE43D5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  <w:lang w:eastAsia="cs-CZ"/>
              </w:rPr>
              <w:t>.</w:t>
            </w:r>
          </w:p>
          <w:p w:rsidR="00941C1F" w:rsidRPr="00941C1F" w:rsidRDefault="00941C1F" w:rsidP="00941C1F">
            <w:pPr>
              <w:spacing w:after="22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41C1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Abych byl úspěšný, potřebuji čas na odpočinek a hru.</w:t>
            </w:r>
          </w:p>
        </w:tc>
      </w:tr>
      <w:tr w:rsidR="00941C1F" w:rsidRPr="00021212" w:rsidTr="00720F53">
        <w:tc>
          <w:tcPr>
            <w:tcW w:w="4530" w:type="dxa"/>
            <w:vAlign w:val="center"/>
          </w:tcPr>
          <w:p w:rsidR="00941C1F" w:rsidRPr="00DE43D5" w:rsidRDefault="00DE43D5" w:rsidP="00941C1F">
            <w:pPr>
              <w:spacing w:after="225"/>
              <w:jc w:val="both"/>
              <w:rPr>
                <w:rFonts w:eastAsia="Times New Roman" w:cstheme="minorHAnsi"/>
                <w:b/>
                <w:i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3. Mějte mě rádi takového, jaký jsem</w:t>
            </w:r>
            <w:r w:rsidR="003250F7" w:rsidRPr="00DE43D5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  <w:lang w:eastAsia="cs-CZ"/>
              </w:rPr>
              <w:t>.</w:t>
            </w:r>
          </w:p>
          <w:p w:rsidR="00941C1F" w:rsidRPr="00021212" w:rsidRDefault="00941C1F" w:rsidP="00941C1F">
            <w:pPr>
              <w:spacing w:after="225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41C1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Potřebuji vědět, že jsem v něčem výjimečný, a že i když se mi něco nepovede, pořád mě máte rádi.</w:t>
            </w:r>
          </w:p>
        </w:tc>
        <w:tc>
          <w:tcPr>
            <w:tcW w:w="4826" w:type="dxa"/>
          </w:tcPr>
          <w:p w:rsidR="00941C1F" w:rsidRPr="00DE43D5" w:rsidRDefault="00DE43D5" w:rsidP="00941C1F">
            <w:pPr>
              <w:spacing w:after="225"/>
              <w:rPr>
                <w:rFonts w:eastAsia="Times New Roman" w:cstheme="minorHAnsi"/>
                <w:b/>
                <w:i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8. Chvalte mě a povzbuzujte mě</w:t>
            </w:r>
            <w:r w:rsidR="003250F7" w:rsidRPr="00DE43D5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  <w:lang w:eastAsia="cs-CZ"/>
              </w:rPr>
              <w:t>.</w:t>
            </w:r>
          </w:p>
          <w:p w:rsidR="00941C1F" w:rsidRPr="00021212" w:rsidRDefault="00941C1F" w:rsidP="00941C1F">
            <w:pPr>
              <w:spacing w:after="150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41C1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Budu se ještě více snažit.</w:t>
            </w:r>
          </w:p>
        </w:tc>
      </w:tr>
      <w:tr w:rsidR="00941C1F" w:rsidRPr="00021212" w:rsidTr="00720F53">
        <w:tc>
          <w:tcPr>
            <w:tcW w:w="4530" w:type="dxa"/>
            <w:vAlign w:val="center"/>
          </w:tcPr>
          <w:p w:rsidR="00941C1F" w:rsidRPr="00DE43D5" w:rsidRDefault="00DE43D5" w:rsidP="00941C1F">
            <w:pPr>
              <w:spacing w:after="225"/>
              <w:rPr>
                <w:rFonts w:eastAsia="Times New Roman" w:cstheme="minorHAnsi"/>
                <w:b/>
                <w:i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4. Buďte důslední a jděte mi příkladem</w:t>
            </w:r>
            <w:r w:rsidR="003250F7" w:rsidRPr="00DE43D5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  <w:lang w:eastAsia="cs-CZ"/>
              </w:rPr>
              <w:t>.</w:t>
            </w:r>
          </w:p>
          <w:p w:rsidR="00941C1F" w:rsidRPr="00021212" w:rsidRDefault="00941C1F" w:rsidP="00941C1F">
            <w:pPr>
              <w:spacing w:after="225"/>
              <w:jc w:val="both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21212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cs-CZ"/>
              </w:rPr>
              <w:t>Potřebuji mít jasně stanovené hranice, jinak jsem zmatený, nejistý</w:t>
            </w:r>
          </w:p>
        </w:tc>
        <w:tc>
          <w:tcPr>
            <w:tcW w:w="4826" w:type="dxa"/>
          </w:tcPr>
          <w:p w:rsidR="00941C1F" w:rsidRPr="00DE43D5" w:rsidRDefault="00DE43D5" w:rsidP="00941C1F">
            <w:pPr>
              <w:spacing w:after="225"/>
              <w:rPr>
                <w:rFonts w:eastAsia="Times New Roman" w:cstheme="minorHAnsi"/>
                <w:b/>
                <w:i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9. Nepřeceňujte mě ani mě nepodceňujte</w:t>
            </w:r>
            <w:r w:rsidR="003250F7" w:rsidRPr="00DE43D5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  <w:lang w:eastAsia="cs-CZ"/>
              </w:rPr>
              <w:t>.</w:t>
            </w:r>
          </w:p>
          <w:p w:rsidR="00941C1F" w:rsidRPr="00021212" w:rsidRDefault="00941C1F" w:rsidP="00941C1F">
            <w:pPr>
              <w:spacing w:after="150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41C1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Mohli byste mi totiž ublížit.</w:t>
            </w:r>
          </w:p>
        </w:tc>
      </w:tr>
      <w:tr w:rsidR="00941C1F" w:rsidRPr="00021212" w:rsidTr="00720F53">
        <w:tc>
          <w:tcPr>
            <w:tcW w:w="4530" w:type="dxa"/>
            <w:vAlign w:val="center"/>
          </w:tcPr>
          <w:p w:rsidR="00941C1F" w:rsidRPr="00DE43D5" w:rsidRDefault="00DE43D5" w:rsidP="00941C1F">
            <w:pPr>
              <w:spacing w:after="225"/>
              <w:rPr>
                <w:rFonts w:eastAsia="Times New Roman" w:cstheme="minorHAnsi"/>
                <w:b/>
                <w:i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5. Najděte si na mě čas</w:t>
            </w:r>
            <w:r w:rsidR="003250F7" w:rsidRPr="00DE43D5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  <w:lang w:eastAsia="cs-CZ"/>
              </w:rPr>
              <w:t>.</w:t>
            </w:r>
          </w:p>
          <w:p w:rsidR="00941C1F" w:rsidRPr="00021212" w:rsidRDefault="00941C1F" w:rsidP="00941C1F">
            <w:pPr>
              <w:spacing w:after="225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41C1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Nebudu potom zlobit.</w:t>
            </w:r>
          </w:p>
        </w:tc>
        <w:tc>
          <w:tcPr>
            <w:tcW w:w="4826" w:type="dxa"/>
            <w:vAlign w:val="center"/>
          </w:tcPr>
          <w:p w:rsidR="00941C1F" w:rsidRPr="00DE43D5" w:rsidRDefault="00DE43D5" w:rsidP="00941C1F">
            <w:pPr>
              <w:spacing w:after="225"/>
              <w:rPr>
                <w:rFonts w:eastAsia="Times New Roman" w:cstheme="minorHAnsi"/>
                <w:b/>
                <w:i/>
                <w:color w:val="002060"/>
                <w:sz w:val="24"/>
                <w:szCs w:val="24"/>
                <w:lang w:eastAsia="cs-CZ"/>
              </w:rPr>
            </w:pPr>
            <w:r w:rsidRPr="00DE43D5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eastAsia="cs-CZ"/>
              </w:rPr>
              <w:t>10. Zachovejte klid</w:t>
            </w:r>
            <w:r w:rsidR="003250F7" w:rsidRPr="00DE43D5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  <w:lang w:eastAsia="cs-CZ"/>
              </w:rPr>
              <w:t>.</w:t>
            </w:r>
          </w:p>
          <w:p w:rsidR="00941C1F" w:rsidRPr="00941C1F" w:rsidRDefault="00941C1F" w:rsidP="00941C1F">
            <w:pPr>
              <w:spacing w:after="22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41C1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 já se chci naučit řešit problémy.</w:t>
            </w:r>
          </w:p>
        </w:tc>
      </w:tr>
    </w:tbl>
    <w:p w:rsidR="007C3BB0" w:rsidRPr="00021212" w:rsidRDefault="0017189A" w:rsidP="00021212">
      <w:pPr>
        <w:shd w:val="clear" w:color="auto" w:fill="FFFFFF"/>
        <w:spacing w:after="150" w:line="240" w:lineRule="auto"/>
        <w:rPr>
          <w:rFonts w:eastAsia="Times New Roman" w:cstheme="minorHAnsi"/>
          <w:color w:val="000080"/>
          <w:sz w:val="24"/>
          <w:szCs w:val="24"/>
          <w:lang w:eastAsia="cs-CZ"/>
        </w:rPr>
      </w:pPr>
    </w:p>
    <w:sectPr w:rsidR="007C3BB0" w:rsidRPr="00021212" w:rsidSect="00B17FD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C5B" w:rsidRDefault="00272C5B" w:rsidP="00272C5B">
      <w:pPr>
        <w:spacing w:after="0" w:line="240" w:lineRule="auto"/>
      </w:pPr>
      <w:r>
        <w:separator/>
      </w:r>
    </w:p>
  </w:endnote>
  <w:endnote w:type="continuationSeparator" w:id="0">
    <w:p w:rsidR="00272C5B" w:rsidRDefault="00272C5B" w:rsidP="0027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C5B" w:rsidRDefault="00272C5B" w:rsidP="00272C5B">
      <w:pPr>
        <w:spacing w:after="0" w:line="240" w:lineRule="auto"/>
      </w:pPr>
      <w:r>
        <w:separator/>
      </w:r>
    </w:p>
  </w:footnote>
  <w:footnote w:type="continuationSeparator" w:id="0">
    <w:p w:rsidR="00272C5B" w:rsidRDefault="00272C5B" w:rsidP="00272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3C70"/>
    <w:multiLevelType w:val="multilevel"/>
    <w:tmpl w:val="8B1C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1F"/>
    <w:rsid w:val="00021212"/>
    <w:rsid w:val="0017189A"/>
    <w:rsid w:val="00272C5B"/>
    <w:rsid w:val="003250F7"/>
    <w:rsid w:val="00720F53"/>
    <w:rsid w:val="00941C1F"/>
    <w:rsid w:val="00A916FB"/>
    <w:rsid w:val="00AB3C79"/>
    <w:rsid w:val="00B17F58"/>
    <w:rsid w:val="00B17FD7"/>
    <w:rsid w:val="00C01DB0"/>
    <w:rsid w:val="00C15ACC"/>
    <w:rsid w:val="00D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BB3E"/>
  <w15:chartTrackingRefBased/>
  <w15:docId w15:val="{4E7A52C8-1989-4391-B882-E28DCBBA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41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41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C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41C1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4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C5B"/>
  </w:style>
  <w:style w:type="paragraph" w:styleId="Zpat">
    <w:name w:val="footer"/>
    <w:basedOn w:val="Normln"/>
    <w:link w:val="ZpatChar"/>
    <w:uiPriority w:val="99"/>
    <w:unhideWhenUsed/>
    <w:rsid w:val="0027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Mrkousová Markéta</dc:creator>
  <cp:keywords/>
  <dc:description/>
  <cp:lastModifiedBy>Mrkousová Markéta</cp:lastModifiedBy>
  <cp:revision>7</cp:revision>
  <cp:lastPrinted>2026-01-09T12:39:00Z</cp:lastPrinted>
  <dcterms:created xsi:type="dcterms:W3CDTF">2026-01-09T10:07:00Z</dcterms:created>
  <dcterms:modified xsi:type="dcterms:W3CDTF">2026-01-09T12:44:00Z</dcterms:modified>
</cp:coreProperties>
</file>